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/>
        <w:drawing>
          <wp:inline distT="0" distB="0" distL="0" distR="0">
            <wp:extent cx="561340" cy="5937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SABIEDRĪBA  AR  IEROBEŽOTU ATBILDĪBU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“</w:t>
      </w:r>
      <w:r>
        <w:rPr>
          <w:rFonts w:cs="Times New Roman" w:ascii="Times New Roman" w:hAnsi="Times New Roman"/>
          <w:b/>
          <w:sz w:val="32"/>
          <w:szCs w:val="32"/>
          <w:lang w:val="lv-LV" w:eastAsia="en-US" w:bidi="ar-SA"/>
        </w:rPr>
        <w:t>VĪGANTS”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Susējas iela 9, Sala, Salas pagasts, Jēkabpils novads, LV-5230, tālr. 26446651, </w:t>
      </w:r>
      <w:r>
        <w:rPr>
          <w:rFonts w:cs="Times New Roman" w:ascii="Times New Roman" w:hAnsi="Times New Roman"/>
          <w:color w:val="000000"/>
          <w:sz w:val="18"/>
          <w:szCs w:val="18"/>
          <w:u w:val="none"/>
          <w:lang w:val="lv-LV" w:eastAsia="en-US" w:bidi="ar-SA"/>
        </w:rPr>
        <w:t>vigants@vigants.lv</w:t>
      </w: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 xml:space="preserve">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cs="Times New Roman" w:ascii="Times New Roman" w:hAnsi="Times New Roman"/>
          <w:sz w:val="18"/>
          <w:szCs w:val="18"/>
          <w:lang w:val="lv-LV" w:eastAsia="en-US" w:bidi="ar-SA"/>
        </w:rPr>
        <w:t>Reģ.Nr. LV55403000931, SEB banka, kods UNLALV2X, konta Nr. LV31UNLA0009000609004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 xml:space="preserve"> </w:t>
      </w: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sz w:val="21"/>
          <w:szCs w:val="21"/>
          <w:u w:val="none"/>
          <w:lang w:val="lv-LV" w:eastAsia="en-US" w:bidi="ar-SA"/>
        </w:rPr>
        <w:t>Jēkabpils novada, Salas pagastā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>CENU APTAUJA</w:t>
      </w:r>
    </w:p>
    <w:p>
      <w:pPr>
        <w:pStyle w:val="TextBody"/>
        <w:spacing w:lineRule="auto" w:line="240" w:before="0" w:after="0"/>
        <w:jc w:val="center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 xml:space="preserve"> </w:t>
      </w: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 xml:space="preserve">KURINĀMĀ RESURSA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 w:eastAsiaTheme="minorHAns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4"/>
          <w:szCs w:val="22"/>
          <w:u w:val="none"/>
          <w:lang w:val="lv-LV" w:eastAsia="en-US" w:bidi="ar-SA"/>
        </w:rPr>
        <w:t>(PROPĀNA-BUTĀNA GĀZE) PIEGĀDEI</w:t>
      </w:r>
    </w:p>
    <w:p>
      <w:pPr>
        <w:pStyle w:val="TextBody"/>
        <w:spacing w:lineRule="auto" w:line="240" w:before="0" w:after="202"/>
        <w:jc w:val="center"/>
        <w:rPr>
          <w:rStyle w:val="Emphasis"/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Style w:val="Emphasis"/>
          <w:rFonts w:eastAsia="Calibri" w:cs="Times New Roman" w:ascii="Times New Roman;serif" w:hAnsi="Times New Roman;serif"/>
          <w:b w:val="false"/>
          <w:bCs w:val="false"/>
          <w:i w:val="false"/>
          <w:caps w:val="false"/>
          <w:smallCaps w:val="false"/>
          <w:u w:val="none"/>
          <w:lang w:val="lv-LV" w:eastAsia="en-US" w:bidi="ar-SA"/>
        </w:rPr>
        <w:t>2022.gada</w:t>
      </w:r>
      <w:r>
        <w:rPr>
          <w:rStyle w:val="Emphasis"/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u w:val="none"/>
          <w:lang w:val="fi-FI" w:eastAsia="en-US" w:bidi="ar-SA"/>
        </w:rPr>
        <w:t xml:space="preserve"> 8.septembrī</w:t>
      </w:r>
    </w:p>
    <w:p>
      <w:pPr>
        <w:pStyle w:val="TextBody"/>
        <w:spacing w:lineRule="auto" w:line="240" w:before="0" w:after="202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>SIA “Vīgants” lūdz</w:t>
      </w:r>
      <w:r>
        <w:rPr>
          <w:lang w:val="lv-LV" w:eastAsia="en-US" w:bidi="ar-SA"/>
        </w:rPr>
        <w:t xml:space="preserve"> </w:t>
      </w:r>
      <w:r>
        <w:rPr>
          <w:rFonts w:ascii="Times New Roman;serif" w:hAnsi="Times New Roman;serif"/>
          <w:b/>
          <w:color w:val="000000"/>
          <w:sz w:val="22"/>
          <w:lang w:val="lv-LV" w:eastAsia="en-US" w:bidi="ar-SA"/>
        </w:rPr>
        <w:t xml:space="preserve">iesniegt cenas </w:t>
      </w:r>
      <w:r>
        <w:rPr>
          <w:rFonts w:ascii="Times New Roman;serif" w:hAnsi="Times New Roman;serif"/>
          <w:b/>
          <w:sz w:val="22"/>
          <w:lang w:val="lv-LV" w:eastAsia="en-US" w:bidi="ar-SA"/>
        </w:rPr>
        <w:t>piedāvājumu kurināmā resursa (</w:t>
      </w:r>
      <w:r>
        <w:rPr>
          <w:rFonts w:eastAsia="Calibri" w:cs="" w:ascii="Times New Roman;serif" w:hAnsi="Times New Roman;serif" w:cstheme="minorBidi" w:eastAsiaTheme="minorHAnsi"/>
          <w:b/>
          <w:color w:val="auto"/>
          <w:kern w:val="0"/>
          <w:sz w:val="22"/>
          <w:szCs w:val="22"/>
          <w:lang w:val="lv-LV" w:eastAsia="en-US" w:bidi="ar-SA"/>
        </w:rPr>
        <w:t>propāna-butāna gāzes)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 piegādei </w:t>
      </w:r>
      <w:r>
        <w:rPr>
          <w:rFonts w:eastAsia="Calibri" w:cs="" w:ascii="Times New Roman;serif" w:hAnsi="Times New Roman;serif" w:cstheme="minorBidi" w:eastAsiaTheme="minorHAnsi"/>
          <w:b/>
          <w:color w:val="auto"/>
          <w:kern w:val="0"/>
          <w:sz w:val="22"/>
          <w:szCs w:val="22"/>
          <w:lang w:val="lv-LV" w:eastAsia="en-US" w:bidi="ar-SA"/>
        </w:rPr>
        <w:t>2022./2023.g.</w:t>
      </w:r>
      <w:r>
        <w:rPr>
          <w:rFonts w:ascii="Times New Roman;serif" w:hAnsi="Times New Roman;serif"/>
          <w:b/>
          <w:sz w:val="22"/>
          <w:lang w:val="lv-LV" w:eastAsia="en-US" w:bidi="ar-SA"/>
        </w:rPr>
        <w:t xml:space="preserve"> apkures sezonai, izmantojot mobilās piegādes iekārtas (ADR tipa konteinerus). Piegādes vieta SIA ”Vīgants” katlu māja Skolas ielā 2a, Sala, Salas pagasts, Jēkabpils novads. </w:t>
      </w:r>
      <w:r>
        <w:rPr>
          <w:rFonts w:ascii="Times New Roman;serif" w:hAnsi="Times New Roman;serif"/>
          <w:b w:val="false"/>
          <w:bCs w:val="false"/>
          <w:sz w:val="22"/>
          <w:lang w:val="lv-LV" w:eastAsia="en-US" w:bidi="ar-SA"/>
        </w:rPr>
        <w:t xml:space="preserve">SIA “Vīgants” plānotais propāna butāna gāzes apjoms 2022./2023.g. apkures sezonai – 3 000 MWh. Propāna butāna gāzes enerģijas daudzums ikmēnesi tiks </w:t>
      </w:r>
      <w:r>
        <w:rPr>
          <w:rFonts w:eastAsia="Calibri" w:cs="" w:ascii="Times New Roman;serif" w:hAnsi="Times New Roman;serif" w:cstheme="minorBidi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>fiksēts</w:t>
      </w:r>
      <w:r>
        <w:rPr>
          <w:rFonts w:ascii="Times New Roman;serif" w:hAnsi="Times New Roman;serif"/>
          <w:b w:val="false"/>
          <w:bCs w:val="false"/>
          <w:sz w:val="22"/>
          <w:lang w:val="lv-LV" w:eastAsia="en-US" w:bidi="ar-SA"/>
        </w:rPr>
        <w:t xml:space="preserve"> pēc faktiski patērētā apjoma, kas tiek uzskaitīts pēc </w:t>
      </w:r>
      <w:r>
        <w:rPr>
          <w:rFonts w:eastAsia="Calibri" w:cs="" w:ascii="Times New Roman;serif" w:hAnsi="Times New Roman;serif" w:cstheme="minorBidi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>skaitītāja</w:t>
      </w:r>
      <w:r>
        <w:rPr>
          <w:rFonts w:ascii="Times New Roman;serif" w:hAnsi="Times New Roman;serif"/>
          <w:b w:val="false"/>
          <w:bCs w:val="false"/>
          <w:sz w:val="22"/>
          <w:lang w:val="lv-LV" w:eastAsia="en-US" w:bidi="ar-SA"/>
        </w:rPr>
        <w:t xml:space="preserve"> radījuma. </w:t>
      </w:r>
      <w:r>
        <w:rPr>
          <w:rFonts w:eastAsia="Calibri" w:cs="" w:ascii="Times New Roman;serif" w:hAnsi="Times New Roman;serif" w:cstheme="minorBidi" w:eastAsiaTheme="minorHAnsi"/>
          <w:b w:val="false"/>
          <w:bCs w:val="false"/>
          <w:color w:val="auto"/>
          <w:kern w:val="0"/>
          <w:sz w:val="22"/>
          <w:szCs w:val="22"/>
          <w:lang w:val="lv-LV" w:eastAsia="en-US" w:bidi="ar-SA"/>
        </w:rPr>
        <w:t xml:space="preserve">Darbības periods </w:t>
      </w:r>
      <w:r>
        <w:rPr>
          <w:rFonts w:ascii="Times New Roman;serif" w:hAnsi="Times New Roman;serif"/>
          <w:b w:val="false"/>
          <w:bCs w:val="false"/>
          <w:sz w:val="22"/>
          <w:lang w:val="lv-LV" w:eastAsia="en-US" w:bidi="ar-SA"/>
        </w:rPr>
        <w:t xml:space="preserve">no 2022.gada 1.oktobra līdz 2023.gada aprīļa beigām. Ja komersants nespēj nodrošināt šādu prasību, lūdzam iesniegt piedāvājumu ar alternatīvu līguma termiņa risinājumu. </w:t>
      </w:r>
    </w:p>
    <w:p>
      <w:pPr>
        <w:pStyle w:val="TextBody"/>
        <w:spacing w:lineRule="auto" w:line="276" w:before="0" w:after="0"/>
        <w:ind w:left="0" w:right="0" w:hanging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TextBody"/>
        <w:spacing w:lineRule="auto" w:line="276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Aizpildītu pieteikumu (Pielikums Nr.1) lūdzam iesūtīt 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 xml:space="preserve">līdz 2022.gada </w:t>
      </w:r>
      <w:r>
        <w:rPr>
          <w:rFonts w:eastAsia="Calibri" w:cs="" w:ascii="Times New Roman;serif" w:hAnsi="Times New Roman;serif"/>
          <w:b/>
          <w:bCs/>
          <w:color w:val="000000"/>
          <w:kern w:val="0"/>
          <w:sz w:val="22"/>
          <w:szCs w:val="22"/>
          <w:lang w:val="lv-LV" w:eastAsia="en-US" w:bidi="ar-SA"/>
        </w:rPr>
        <w:t>14.septembrim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,</w:t>
      </w:r>
      <w:r>
        <w:rPr>
          <w:rFonts w:eastAsia="Calibri" w:cs="" w:ascii="Times New Roman;serif" w:hAnsi="Times New Roman;serif" w:cstheme="minorBidi" w:eastAsiaTheme="minorHAnsi"/>
          <w:b/>
          <w:bCs/>
          <w:color w:val="000000"/>
          <w:kern w:val="0"/>
          <w:sz w:val="22"/>
          <w:szCs w:val="22"/>
          <w:lang w:val="lv-LV" w:eastAsia="en-US" w:bidi="ar-SA"/>
        </w:rPr>
        <w:t xml:space="preserve"> plkst. 13:00</w:t>
      </w:r>
      <w:r>
        <w:rPr>
          <w:rFonts w:ascii="Times New Roman;serif" w:hAnsi="Times New Roman;serif"/>
          <w:b/>
          <w:bCs/>
          <w:color w:val="000000"/>
          <w:sz w:val="22"/>
          <w:lang w:val="lv-LV" w:eastAsia="en-US" w:bidi="ar-SA"/>
        </w:rPr>
        <w:t>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nosūtot uz e-pastu: </w:t>
      </w:r>
      <w:hyperlink r:id="rId3">
        <w:r>
          <w:rPr>
            <w:rStyle w:val="InternetLink"/>
            <w:rFonts w:ascii="Times New Roman;serif" w:hAnsi="Times New Roman;serif"/>
            <w:b w:val="false"/>
            <w:color w:val="000000"/>
            <w:sz w:val="22"/>
            <w:lang w:val="lv-LV" w:eastAsia="en-US" w:bidi="ar-SA"/>
          </w:rPr>
          <w:t>vigants@vigants.lv</w:t>
        </w:r>
      </w:hyperlink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. Jautājumu gadījumā sazināties ar SIA “Vīgants”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valdes locekli Ritu Audriņu,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 xml:space="preserve"> pa tālruni: </w:t>
      </w:r>
      <w:r>
        <w:rPr>
          <w:rFonts w:eastAsia="Calibri" w:cs="" w:ascii="Times New Roman;serif" w:hAnsi="Times New Roman;serif" w:cstheme="minorBidi" w:eastAsiaTheme="minorHAnsi"/>
          <w:b w:val="false"/>
          <w:color w:val="000000"/>
          <w:kern w:val="0"/>
          <w:sz w:val="22"/>
          <w:szCs w:val="22"/>
          <w:lang w:val="lv-LV" w:eastAsia="en-US" w:bidi="ar-SA"/>
        </w:rPr>
        <w:t>29169675</w:t>
      </w:r>
      <w:r>
        <w:rPr>
          <w:rFonts w:ascii="Times New Roman;serif" w:hAnsi="Times New Roman;serif"/>
          <w:b w:val="false"/>
          <w:color w:val="000000"/>
          <w:sz w:val="22"/>
          <w:lang w:val="lv-LV" w:eastAsia="en-US" w:bidi="ar-S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>Ar cieņu,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 xml:space="preserve">valdes locekle </w:t>
        <w:tab/>
        <w:tab/>
        <w:tab/>
        <w:tab/>
        <w:tab/>
        <w:tab/>
        <w:tab/>
        <w:tab/>
        <w:tab/>
        <w:t>Rita Audriņa</w:t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>Pielikums Nr.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none"/>
          <w:lang w:val="lv-LV" w:eastAsia="en-US" w:bidi="ar-SA"/>
        </w:rPr>
        <w:t xml:space="preserve">Pieteikums kurināmā resursa piegādei un finanšu piedāvājums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lv-LV" w:eastAsia="en-US" w:bidi="ar-SA"/>
        </w:rPr>
        <w:t>Datums: 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tbl>
      <w:tblPr>
        <w:tblW w:w="8900" w:type="dxa"/>
        <w:jc w:val="left"/>
        <w:tblInd w:w="16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6109"/>
      </w:tblGrid>
      <w:tr>
        <w:trPr>
          <w:trHeight w:val="23" w:hRule="atLeast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u w:val="none"/>
              </w:rPr>
              <w:t>Pretendenta nosaukums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Reģistrācijas numurs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Juridiskā adrese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Korespondences adrese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nosaukums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kods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Bankas konta numurs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Kontaktpersona: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Tālruņa numurs: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E-pasta adrese: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  <w:tr>
        <w:trPr>
          <w:trHeight w:val="23" w:hRule="atLeast"/>
        </w:trPr>
        <w:tc>
          <w:tcPr>
            <w:tcW w:w="279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en-GB" w:eastAsia="en-US" w:bidi="ar-SA"/>
              </w:rPr>
              <w:t>Paraksttiesīgās personas vārds, uzvārds, amats</w:t>
            </w:r>
          </w:p>
        </w:tc>
        <w:tc>
          <w:tcPr>
            <w:tcW w:w="61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  <w:lang w:val="fi-F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u w:val="single"/>
                <w:lang w:val="fi-FI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  <w:lang w:val="fi-FI"/>
        </w:rPr>
        <w:t xml:space="preserve">SIA ”____________”, Reģ.Nr. _______________, piesaka dalību cenu aptaujā par kurināmā resursa (propāna-butāna gāze) piegādi, izmantojot mobilās piegādes iekārtas (ADR tipa konteinerus) SIA ”Vīgants” katlu mājai Skolas ielā 2a, Sala, Salas pagasts, Jēkabpils novads darbības nodrošināšanai no 2022.gada 1.oktobra.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fi-F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u w:val="single"/>
          <w:lang w:val="fi-FI"/>
        </w:rPr>
      </w:pP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 xml:space="preserve">Nosacījumi dalībai tirgus izpētē – propāna butāna gāzes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u w:val="single"/>
          <w:lang w:val="lv-LV" w:eastAsia="en-US" w:bidi="ar-SA"/>
        </w:rPr>
        <w:t>piegādei</w:t>
      </w:r>
      <w:r>
        <w:rPr>
          <w:rFonts w:eastAsia="Calibri" w:cs="Times New Roman" w:ascii="Times New Roman" w:hAnsi="Times New Roman"/>
          <w:b/>
          <w:bCs/>
          <w:u w:val="single"/>
          <w:lang w:val="lv-LV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70" w:leader="none"/>
        </w:tabs>
        <w:suppressAutoHyphens w:val="true"/>
        <w:bidi w:val="0"/>
        <w:spacing w:lineRule="auto" w:line="240" w:before="0" w:after="0"/>
        <w:ind w:left="360" w:right="0" w:hanging="36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>Finanšu piedāvājums: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 xml:space="preserve">Piesakoties kurināmā resursa (propāna-butāna gāzes) piegādes cenu aptaujā, piedāvājam šādu cenu ______________________ par 1 MWh, bez PVN.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color w:val="000000"/>
          <w:lang w:val="lv-LV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color w:val="000000"/>
          <w:lang w:val="lv-LV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 xml:space="preserve">1.1. </w:t>
      </w:r>
      <w:r>
        <w:rPr>
          <w:rFonts w:eastAsia="Calibri" w:cs="Times New Roman" w:ascii="Times New Roman" w:hAnsi="Times New Roman"/>
          <w:b/>
          <w:bCs/>
          <w:color w:val="000000"/>
          <w:lang w:val="lv-LV"/>
        </w:rPr>
        <w:t>Piedāvātajā summā ir iekļauti</w:t>
      </w:r>
      <w:r>
        <w:rPr>
          <w:rFonts w:eastAsia="Calibri" w:cs="Times New Roman" w:ascii="Times New Roman" w:hAnsi="Times New Roman"/>
          <w:b w:val="false"/>
          <w:bCs w:val="false"/>
          <w:color w:val="000000"/>
          <w:lang w:val="lv-LV"/>
        </w:rPr>
        <w:t xml:space="preserve"> siltumenerģijas ražošanas zudumi un dabasgāzes katla regulēšanas  izmaksas,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u w:val="none"/>
          <w:lang w:val="lv-LV"/>
        </w:rPr>
        <w:t xml:space="preserve">piegādes izmaksas u.c. izmaksas pakalpojuma kvalitatīvai nodrošināšanai.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50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/>
          <w:lang w:val="lv-LV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50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eastAsia="Calibri" w:cs="Times New Roman"/>
          <w:lang w:val="lv-LV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u w:val="none"/>
          <w:lang w:val="lv-LV" w:eastAsia="en-US" w:bidi="ar-SA"/>
        </w:rPr>
        <w:t>1.2. Preces</w:t>
      </w:r>
      <w:r>
        <w:rPr>
          <w:rFonts w:eastAsia="Calibri" w:cs="Times New Roman" w:ascii="Times New Roman" w:hAnsi="Times New Roman"/>
          <w:b/>
          <w:bCs/>
          <w:u w:val="none"/>
          <w:lang w:val="lv-LV"/>
        </w:rPr>
        <w:t xml:space="preserve"> cenā netiek iekļauts</w:t>
      </w:r>
      <w:r>
        <w:rPr>
          <w:rFonts w:eastAsia="Calibri" w:cs="Times New Roman" w:ascii="Times New Roman" w:hAnsi="Times New Roman"/>
          <w:u w:val="none"/>
          <w:lang w:val="lv-LV"/>
        </w:rPr>
        <w:t xml:space="preserve"> d</w:t>
      </w:r>
      <w:r>
        <w:rPr>
          <w:rFonts w:eastAsia="Calibri" w:cs="Times New Roman" w:ascii="Times New Roman" w:hAnsi="Times New Roman"/>
          <w:lang w:val="lv-LV"/>
        </w:rPr>
        <w:t xml:space="preserve">abas resursu nodoklis un </w:t>
      </w:r>
      <w:r>
        <w:rPr>
          <w:rFonts w:eastAsia="Times New Roman" w:cs="Times New Roman" w:ascii="Times New Roman" w:hAnsi="Times New Roman"/>
          <w:lang w:val="lv-LV"/>
        </w:rPr>
        <w:t>PVN.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2. Mēs apliecinām, ka: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2.1. apmaksa par patērēto kurināmo tiek aprēķināta atbilstoši skaitītāja rādījumam, kas uzstādīts pēc dabasgāzes katla;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2.2. nekādā veidā neesam ieinteresēti nevienā citā piedāvājumā, kas iesniegts šajā cenu aptaujā;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2.3. nav tādu apstākļu, kas liegtu mums piedalīties cenu aptaujā un piegādāt prognozējamo apjomu gadā.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tbl>
      <w:tblPr>
        <w:tblpPr w:bottomFromText="0" w:horzAnchor="margin" w:leftFromText="180" w:rightFromText="180" w:tblpX="0" w:tblpXSpec="center" w:tblpY="142" w:topFromText="0" w:vertAnchor="text"/>
        <w:tblW w:w="93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38"/>
        <w:gridCol w:w="7483"/>
      </w:tblGrid>
      <w:tr>
        <w:trPr>
          <w:trHeight w:val="423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lv-LV" w:eastAsia="ar-SA"/>
              </w:rPr>
              <w:t xml:space="preserve">Vārds, uzvārds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0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415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lv-LV" w:eastAsia="ar-SA"/>
              </w:rPr>
              <w:t>Amats</w: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0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418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160"/>
              <w:ind w:left="425" w:hanging="0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lang w:val="lv-LV"/>
        </w:rPr>
      </w:pPr>
      <w:r>
        <w:rPr/>
      </w:r>
    </w:p>
    <w:sectPr>
      <w:type w:val="nextPage"/>
      <w:pgSz w:w="11906" w:h="16838"/>
      <w:pgMar w:left="1800" w:right="1106" w:header="0" w:top="860" w:footer="0" w:bottom="8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3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Noklusjumarindkopasfonts">
    <w:name w:val="Noklusējuma rindkopas fonts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gants@vigants.l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LibreOffice/6.4.3.2$Windows_X86_64 LibreOffice_project/747b5d0ebf89f41c860ec2a39efd7cb15b54f2d8</Application>
  <Pages>2</Pages>
  <Words>346</Words>
  <Characters>2464</Characters>
  <CharactersWithSpaces>2794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2022-05-17T10:58:00Z</dcterms:created>
  <dc:creator>Sandra Rode</dc:creator>
  <dc:description/>
  <dc:language>lv-LV</dc:language>
  <cp:lastModifiedBy/>
  <dcterms:modified xsi:type="dcterms:W3CDTF">2022-09-08T16:32:50Z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